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0E80" w:rsidRDefault="005A0E80" w:rsidP="007628B4">
      <w:pPr>
        <w:rPr>
          <w:rFonts w:ascii="Cambria" w:hAnsi="Cambria"/>
          <w:sz w:val="28"/>
          <w:szCs w:val="28"/>
        </w:rPr>
      </w:pPr>
      <w:r w:rsidRPr="005A0E80">
        <w:rPr>
          <w:rFonts w:ascii="Cambria" w:hAnsi="Cambria"/>
          <w:b/>
          <w:sz w:val="28"/>
          <w:szCs w:val="28"/>
        </w:rPr>
        <w:t xml:space="preserve">Dated: </w:t>
      </w:r>
      <w:r w:rsidRPr="005A0E80">
        <w:rPr>
          <w:rFonts w:ascii="Cambria" w:hAnsi="Cambria"/>
          <w:sz w:val="28"/>
          <w:szCs w:val="28"/>
        </w:rPr>
        <w:t xml:space="preserve">12 </w:t>
      </w:r>
      <w:r w:rsidR="00A40812">
        <w:rPr>
          <w:rFonts w:ascii="Cambria" w:hAnsi="Cambria"/>
          <w:sz w:val="28"/>
          <w:szCs w:val="28"/>
        </w:rPr>
        <w:t>June</w:t>
      </w:r>
      <w:r w:rsidRPr="005A0E80">
        <w:rPr>
          <w:rFonts w:ascii="Cambria" w:hAnsi="Cambria"/>
          <w:sz w:val="28"/>
          <w:szCs w:val="28"/>
        </w:rPr>
        <w:t xml:space="preserve"> 20</w:t>
      </w:r>
      <w:r w:rsidR="00A40812">
        <w:rPr>
          <w:rFonts w:ascii="Cambria" w:hAnsi="Cambria"/>
          <w:sz w:val="28"/>
          <w:szCs w:val="28"/>
        </w:rPr>
        <w:t>20</w:t>
      </w:r>
    </w:p>
    <w:p w:rsidR="005A0E80" w:rsidRPr="005A0E80" w:rsidRDefault="005A0E80" w:rsidP="007628B4">
      <w:pPr>
        <w:rPr>
          <w:rFonts w:ascii="Cambria" w:hAnsi="Cambria"/>
          <w:b/>
          <w:sz w:val="28"/>
          <w:szCs w:val="28"/>
        </w:rPr>
      </w:pPr>
    </w:p>
    <w:p w:rsidR="007628B4" w:rsidRPr="005A0E80" w:rsidRDefault="00A40812" w:rsidP="007628B4">
      <w:pPr>
        <w:rPr>
          <w:rFonts w:ascii="Cambria" w:hAnsi="Cambria"/>
          <w:b/>
          <w:sz w:val="28"/>
          <w:szCs w:val="28"/>
        </w:rPr>
      </w:pPr>
      <w:r>
        <w:rPr>
          <w:rFonts w:ascii="Cambria" w:hAnsi="Cambria"/>
          <w:b/>
          <w:sz w:val="28"/>
          <w:szCs w:val="28"/>
        </w:rPr>
        <w:t>Secure Forests CIC</w:t>
      </w:r>
      <w:r w:rsidR="007628B4" w:rsidRPr="005A0E80">
        <w:rPr>
          <w:rFonts w:ascii="Cambria" w:hAnsi="Cambria"/>
          <w:b/>
          <w:sz w:val="28"/>
          <w:szCs w:val="28"/>
        </w:rPr>
        <w:t xml:space="preserve"> Ltd Company Policy on Data Protection and GDPR Policy</w:t>
      </w:r>
    </w:p>
    <w:p w:rsidR="007628B4" w:rsidRDefault="007628B4" w:rsidP="007628B4">
      <w:pPr>
        <w:rPr>
          <w:b/>
          <w:sz w:val="22"/>
          <w:szCs w:val="22"/>
        </w:rPr>
      </w:pPr>
    </w:p>
    <w:p w:rsidR="007628B4" w:rsidRDefault="007628B4" w:rsidP="007628B4">
      <w:pPr>
        <w:rPr>
          <w:rFonts w:ascii="Cambria" w:hAnsi="Cambria"/>
        </w:rPr>
      </w:pPr>
      <w:r w:rsidRPr="00703291">
        <w:rPr>
          <w:rFonts w:ascii="Cambria" w:hAnsi="Cambria"/>
          <w:b/>
          <w:bCs/>
        </w:rPr>
        <w:t xml:space="preserve">General </w:t>
      </w:r>
      <w:proofErr w:type="gramStart"/>
      <w:r w:rsidR="00703291" w:rsidRPr="00703291">
        <w:rPr>
          <w:rFonts w:ascii="Cambria" w:hAnsi="Cambria"/>
          <w:b/>
          <w:bCs/>
        </w:rPr>
        <w:t>S</w:t>
      </w:r>
      <w:r w:rsidRPr="00703291">
        <w:rPr>
          <w:rFonts w:ascii="Cambria" w:hAnsi="Cambria"/>
          <w:b/>
          <w:bCs/>
        </w:rPr>
        <w:t>tatement</w:t>
      </w:r>
      <w:r>
        <w:rPr>
          <w:rFonts w:ascii="Cambria" w:hAnsi="Cambria"/>
        </w:rPr>
        <w:t xml:space="preserve">  -</w:t>
      </w:r>
      <w:proofErr w:type="gramEnd"/>
      <w:r>
        <w:rPr>
          <w:rFonts w:ascii="Cambria" w:hAnsi="Cambria"/>
        </w:rPr>
        <w:t xml:space="preserve"> </w:t>
      </w:r>
      <w:r w:rsidR="00A40812">
        <w:rPr>
          <w:rFonts w:ascii="Cambria" w:hAnsi="Cambria"/>
        </w:rPr>
        <w:t>Secure Forests CIC</w:t>
      </w:r>
      <w:r>
        <w:rPr>
          <w:rFonts w:ascii="Cambria" w:hAnsi="Cambria"/>
        </w:rPr>
        <w:t xml:space="preserve"> Ltd recognises the legal requirements of the Data Protection Act 2018 and GDPR and is committed to safeguarding personal data. </w:t>
      </w:r>
    </w:p>
    <w:p w:rsidR="007628B4" w:rsidRDefault="007628B4" w:rsidP="007628B4">
      <w:pPr>
        <w:rPr>
          <w:rFonts w:ascii="Cambria" w:hAnsi="Cambria"/>
        </w:rPr>
      </w:pPr>
    </w:p>
    <w:p w:rsidR="007628B4" w:rsidRPr="00072AE5" w:rsidRDefault="007628B4" w:rsidP="007628B4">
      <w:pPr>
        <w:rPr>
          <w:rFonts w:ascii="Cambria" w:hAnsi="Cambria"/>
        </w:rPr>
      </w:pPr>
      <w:r w:rsidRPr="00072AE5">
        <w:rPr>
          <w:rFonts w:ascii="Cambria" w:hAnsi="Cambria"/>
        </w:rPr>
        <w:t>In particular:</w:t>
      </w:r>
    </w:p>
    <w:p w:rsidR="007628B4" w:rsidRDefault="007628B4" w:rsidP="007628B4">
      <w:pPr>
        <w:rPr>
          <w:rFonts w:ascii="Cambria" w:hAnsi="Cambria"/>
        </w:rPr>
      </w:pPr>
    </w:p>
    <w:p w:rsidR="007628B4" w:rsidRDefault="007628B4" w:rsidP="007628B4">
      <w:pPr>
        <w:pStyle w:val="ListParagraph"/>
        <w:numPr>
          <w:ilvl w:val="0"/>
          <w:numId w:val="1"/>
        </w:numPr>
        <w:ind w:left="0"/>
        <w:contextualSpacing w:val="0"/>
        <w:rPr>
          <w:rFonts w:ascii="Cambria" w:hAnsi="Cambria"/>
        </w:rPr>
      </w:pPr>
      <w:r>
        <w:rPr>
          <w:rFonts w:ascii="Cambria" w:hAnsi="Cambria"/>
        </w:rPr>
        <w:t xml:space="preserve">Personal data will be processed fairly and lawfully and, in particular, will not be processed unless – </w:t>
      </w:r>
    </w:p>
    <w:p w:rsidR="007628B4" w:rsidRDefault="007628B4" w:rsidP="007628B4">
      <w:pPr>
        <w:rPr>
          <w:rFonts w:ascii="Cambria" w:hAnsi="Cambria"/>
        </w:rPr>
      </w:pPr>
    </w:p>
    <w:p w:rsidR="007628B4" w:rsidRPr="00073884" w:rsidRDefault="007628B4" w:rsidP="007628B4">
      <w:pPr>
        <w:rPr>
          <w:rFonts w:ascii="Cambria" w:hAnsi="Cambria"/>
        </w:rPr>
      </w:pPr>
      <w:r w:rsidRPr="00073884">
        <w:rPr>
          <w:rFonts w:ascii="Cambria" w:hAnsi="Cambria"/>
        </w:rPr>
        <w:t>At least one of the conditions set out in Section 2 below is met, and</w:t>
      </w:r>
    </w:p>
    <w:p w:rsidR="007628B4" w:rsidRDefault="007628B4" w:rsidP="007628B4">
      <w:pPr>
        <w:rPr>
          <w:rFonts w:ascii="Cambria" w:hAnsi="Cambria"/>
        </w:rPr>
      </w:pPr>
    </w:p>
    <w:p w:rsidR="007628B4" w:rsidRDefault="007628B4" w:rsidP="007628B4">
      <w:pPr>
        <w:rPr>
          <w:rFonts w:ascii="Cambria" w:hAnsi="Cambria"/>
        </w:rPr>
      </w:pPr>
      <w:r>
        <w:rPr>
          <w:rFonts w:ascii="Cambria" w:hAnsi="Cambria"/>
        </w:rPr>
        <w:t>In the case of sensitive personal data, at least one of the conditions in Section 3 below is also met.</w:t>
      </w:r>
    </w:p>
    <w:p w:rsidR="007628B4" w:rsidRDefault="007628B4" w:rsidP="007628B4">
      <w:pPr>
        <w:rPr>
          <w:rFonts w:ascii="Cambria" w:hAnsi="Cambria"/>
        </w:rPr>
      </w:pPr>
    </w:p>
    <w:p w:rsidR="007628B4" w:rsidRDefault="007628B4" w:rsidP="007628B4">
      <w:pPr>
        <w:pStyle w:val="ListParagraph"/>
        <w:numPr>
          <w:ilvl w:val="0"/>
          <w:numId w:val="1"/>
        </w:numPr>
        <w:ind w:left="0"/>
        <w:contextualSpacing w:val="0"/>
        <w:rPr>
          <w:rFonts w:ascii="Cambria" w:hAnsi="Cambria"/>
        </w:rPr>
      </w:pPr>
      <w:r>
        <w:rPr>
          <w:rFonts w:ascii="Cambria" w:hAnsi="Cambria"/>
        </w:rPr>
        <w:t>Personal data will be obtained only for one or more specified and lawful purposes and shall not be further processed in any manner incompatible with that purpose or those purposes.</w:t>
      </w:r>
    </w:p>
    <w:p w:rsidR="007628B4" w:rsidRDefault="007628B4" w:rsidP="007628B4">
      <w:pPr>
        <w:rPr>
          <w:rFonts w:ascii="Cambria" w:hAnsi="Cambria"/>
        </w:rPr>
      </w:pPr>
    </w:p>
    <w:p w:rsidR="007628B4" w:rsidRDefault="007628B4" w:rsidP="007628B4">
      <w:pPr>
        <w:pStyle w:val="ListParagraph"/>
        <w:numPr>
          <w:ilvl w:val="0"/>
          <w:numId w:val="1"/>
        </w:numPr>
        <w:ind w:left="0"/>
        <w:contextualSpacing w:val="0"/>
        <w:rPr>
          <w:rFonts w:ascii="Cambria" w:hAnsi="Cambria"/>
        </w:rPr>
      </w:pPr>
      <w:r>
        <w:rPr>
          <w:rFonts w:ascii="Cambria" w:hAnsi="Cambria"/>
        </w:rPr>
        <w:t>Personal data will be adequate, relevant and not excessive in relation to the purpose(s) for which they are processed.</w:t>
      </w:r>
    </w:p>
    <w:p w:rsidR="007628B4" w:rsidRDefault="007628B4" w:rsidP="007628B4">
      <w:pPr>
        <w:rPr>
          <w:rFonts w:ascii="Cambria" w:hAnsi="Cambria"/>
        </w:rPr>
      </w:pPr>
    </w:p>
    <w:p w:rsidR="007628B4" w:rsidRDefault="007628B4" w:rsidP="007628B4">
      <w:pPr>
        <w:pStyle w:val="ListParagraph"/>
        <w:numPr>
          <w:ilvl w:val="0"/>
          <w:numId w:val="1"/>
        </w:numPr>
        <w:ind w:left="0"/>
        <w:contextualSpacing w:val="0"/>
        <w:rPr>
          <w:rFonts w:ascii="Cambria" w:hAnsi="Cambria"/>
        </w:rPr>
      </w:pPr>
      <w:r>
        <w:rPr>
          <w:rFonts w:ascii="Cambria" w:hAnsi="Cambria"/>
        </w:rPr>
        <w:t>Personal data shall be accurate and, where necessary, kept up to date.</w:t>
      </w:r>
    </w:p>
    <w:p w:rsidR="007628B4" w:rsidRDefault="007628B4" w:rsidP="007628B4">
      <w:pPr>
        <w:rPr>
          <w:rFonts w:ascii="Cambria" w:hAnsi="Cambria"/>
        </w:rPr>
      </w:pPr>
    </w:p>
    <w:p w:rsidR="007628B4" w:rsidRDefault="007628B4" w:rsidP="007628B4">
      <w:pPr>
        <w:pStyle w:val="ListParagraph"/>
        <w:numPr>
          <w:ilvl w:val="0"/>
          <w:numId w:val="1"/>
        </w:numPr>
        <w:ind w:left="0"/>
        <w:contextualSpacing w:val="0"/>
        <w:rPr>
          <w:rFonts w:ascii="Cambria" w:hAnsi="Cambria"/>
        </w:rPr>
      </w:pPr>
      <w:r>
        <w:rPr>
          <w:rFonts w:ascii="Cambria" w:hAnsi="Cambria"/>
        </w:rPr>
        <w:t>Personal data processed for any purpose(s) will not be kept for longer than is necessary for that purpose or purposes.</w:t>
      </w:r>
    </w:p>
    <w:p w:rsidR="007628B4" w:rsidRDefault="007628B4" w:rsidP="007628B4">
      <w:pPr>
        <w:rPr>
          <w:rFonts w:ascii="Cambria" w:hAnsi="Cambria"/>
        </w:rPr>
      </w:pPr>
    </w:p>
    <w:p w:rsidR="007628B4" w:rsidRDefault="007628B4" w:rsidP="007628B4">
      <w:pPr>
        <w:pStyle w:val="ListParagraph"/>
        <w:numPr>
          <w:ilvl w:val="0"/>
          <w:numId w:val="1"/>
        </w:numPr>
        <w:ind w:left="0"/>
        <w:contextualSpacing w:val="0"/>
        <w:rPr>
          <w:rFonts w:ascii="Cambria" w:hAnsi="Cambria"/>
        </w:rPr>
      </w:pPr>
      <w:r>
        <w:rPr>
          <w:rFonts w:ascii="Cambria" w:hAnsi="Cambria"/>
        </w:rPr>
        <w:t xml:space="preserve">Personal data will be processed in accordance with the rights of data subjects under </w:t>
      </w:r>
      <w:r>
        <w:rPr>
          <w:rFonts w:ascii="Cambria" w:hAnsi="Cambria"/>
        </w:rPr>
        <w:tab/>
        <w:t>the Data Protection Act.</w:t>
      </w:r>
    </w:p>
    <w:p w:rsidR="007628B4" w:rsidRDefault="007628B4" w:rsidP="007628B4">
      <w:pPr>
        <w:rPr>
          <w:rFonts w:ascii="Cambria" w:hAnsi="Cambria"/>
        </w:rPr>
      </w:pPr>
    </w:p>
    <w:p w:rsidR="007628B4" w:rsidRDefault="007628B4" w:rsidP="007628B4">
      <w:pPr>
        <w:pStyle w:val="ListParagraph"/>
        <w:numPr>
          <w:ilvl w:val="0"/>
          <w:numId w:val="1"/>
        </w:numPr>
        <w:ind w:left="0"/>
        <w:contextualSpacing w:val="0"/>
        <w:rPr>
          <w:rFonts w:ascii="Cambria" w:hAnsi="Cambria"/>
        </w:rPr>
      </w:pPr>
      <w:r>
        <w:rPr>
          <w:rFonts w:ascii="Cambria" w:hAnsi="Cambria"/>
        </w:rPr>
        <w:t>Appropriate technical and organisational measures will be taken against unauthorised or unlawful processing of personal data and against accidental loss or destruction of, or damage to, personal data.</w:t>
      </w:r>
    </w:p>
    <w:p w:rsidR="007628B4" w:rsidRDefault="007628B4" w:rsidP="007628B4">
      <w:pPr>
        <w:rPr>
          <w:rFonts w:ascii="Cambria" w:hAnsi="Cambria"/>
        </w:rPr>
      </w:pPr>
    </w:p>
    <w:p w:rsidR="007628B4" w:rsidRDefault="007628B4" w:rsidP="007628B4">
      <w:pPr>
        <w:ind w:left="60"/>
        <w:rPr>
          <w:rFonts w:ascii="Cambria" w:hAnsi="Cambria"/>
        </w:rPr>
      </w:pPr>
      <w:r w:rsidRPr="00072AE5">
        <w:rPr>
          <w:rFonts w:ascii="Cambria" w:hAnsi="Cambria"/>
        </w:rPr>
        <w:t>Personal data will not be transferred to a country or territory outside the European Economic Area unless that country or territory ensures an adequate level of protection for the rights and freedoms of data subjects in relation to the processing of personal data.</w:t>
      </w:r>
      <w:r w:rsidR="00703291">
        <w:rPr>
          <w:rFonts w:ascii="Cambria" w:hAnsi="Cambria"/>
        </w:rPr>
        <w:t xml:space="preserve"> All in country GDPR policies are to </w:t>
      </w:r>
      <w:proofErr w:type="gramStart"/>
      <w:r w:rsidR="00703291">
        <w:rPr>
          <w:rFonts w:ascii="Cambria" w:hAnsi="Cambria"/>
        </w:rPr>
        <w:t>obtained</w:t>
      </w:r>
      <w:proofErr w:type="gramEnd"/>
      <w:r w:rsidR="00703291">
        <w:rPr>
          <w:rFonts w:ascii="Cambria" w:hAnsi="Cambria"/>
        </w:rPr>
        <w:t xml:space="preserve"> and scrutinised to ensure data compliance.</w:t>
      </w:r>
    </w:p>
    <w:p w:rsidR="007628B4" w:rsidRDefault="007628B4" w:rsidP="007628B4">
      <w:pPr>
        <w:ind w:left="60"/>
        <w:rPr>
          <w:rFonts w:ascii="Cambria" w:hAnsi="Cambria"/>
        </w:rPr>
      </w:pPr>
    </w:p>
    <w:p w:rsidR="00A40812" w:rsidRDefault="00A40812" w:rsidP="007628B4">
      <w:pPr>
        <w:ind w:left="60"/>
        <w:rPr>
          <w:rFonts w:ascii="Cambria" w:hAnsi="Cambria"/>
        </w:rPr>
      </w:pPr>
    </w:p>
    <w:p w:rsidR="00A40812" w:rsidRDefault="00A40812" w:rsidP="007628B4">
      <w:pPr>
        <w:ind w:left="60"/>
        <w:rPr>
          <w:rFonts w:ascii="Cambria" w:hAnsi="Cambria"/>
        </w:rPr>
      </w:pPr>
    </w:p>
    <w:p w:rsidR="00A40812" w:rsidRDefault="00A40812" w:rsidP="007628B4">
      <w:pPr>
        <w:ind w:left="60"/>
        <w:rPr>
          <w:rFonts w:ascii="Cambria" w:hAnsi="Cambria"/>
        </w:rPr>
      </w:pPr>
    </w:p>
    <w:p w:rsidR="00A40812" w:rsidRDefault="00A40812" w:rsidP="007628B4">
      <w:pPr>
        <w:ind w:left="60"/>
        <w:rPr>
          <w:rFonts w:ascii="Cambria" w:hAnsi="Cambria"/>
        </w:rPr>
      </w:pPr>
    </w:p>
    <w:p w:rsidR="007628B4" w:rsidRDefault="007628B4" w:rsidP="007628B4">
      <w:pPr>
        <w:rPr>
          <w:rFonts w:ascii="Cambria" w:hAnsi="Cambria"/>
        </w:rPr>
      </w:pPr>
    </w:p>
    <w:p w:rsidR="007628B4" w:rsidRPr="007628B4" w:rsidRDefault="007628B4" w:rsidP="007628B4">
      <w:pPr>
        <w:rPr>
          <w:rFonts w:ascii="Cambria" w:hAnsi="Cambria" w:cs="Arial"/>
          <w:b/>
          <w:color w:val="000000"/>
        </w:rPr>
      </w:pPr>
      <w:r w:rsidRPr="007628B4">
        <w:rPr>
          <w:rFonts w:ascii="Cambria" w:hAnsi="Cambria" w:cs="Arial"/>
          <w:b/>
          <w:color w:val="000000"/>
        </w:rPr>
        <w:t xml:space="preserve">Conditions for processing personal data </w:t>
      </w:r>
    </w:p>
    <w:p w:rsidR="007628B4" w:rsidRDefault="007628B4" w:rsidP="007628B4">
      <w:pPr>
        <w:autoSpaceDE w:val="0"/>
        <w:autoSpaceDN w:val="0"/>
        <w:adjustRightInd w:val="0"/>
        <w:rPr>
          <w:rFonts w:ascii="Cambria" w:hAnsi="Cambria" w:cs="Arial"/>
          <w:color w:val="000000"/>
        </w:rPr>
      </w:pPr>
      <w:r>
        <w:rPr>
          <w:rFonts w:ascii="Cambria" w:hAnsi="Cambria" w:cs="Arial"/>
          <w:b/>
          <w:color w:val="000000"/>
        </w:rPr>
        <w:tab/>
      </w:r>
    </w:p>
    <w:p w:rsidR="007628B4" w:rsidRDefault="007628B4" w:rsidP="007628B4">
      <w:pPr>
        <w:pStyle w:val="ListParagraph"/>
        <w:numPr>
          <w:ilvl w:val="0"/>
          <w:numId w:val="2"/>
        </w:numPr>
        <w:autoSpaceDE w:val="0"/>
        <w:autoSpaceDN w:val="0"/>
        <w:adjustRightInd w:val="0"/>
        <w:ind w:left="0"/>
        <w:contextualSpacing w:val="0"/>
        <w:rPr>
          <w:rFonts w:ascii="Cambria" w:hAnsi="Cambria" w:cs="Arial"/>
          <w:color w:val="000000"/>
        </w:rPr>
      </w:pPr>
      <w:r>
        <w:rPr>
          <w:rFonts w:ascii="Cambria" w:hAnsi="Cambria" w:cs="Arial"/>
          <w:color w:val="000000"/>
        </w:rPr>
        <w:t>Unless a relevant exemption applies, at least one of the following conditions must be met whenever we process personal data:</w:t>
      </w:r>
    </w:p>
    <w:p w:rsidR="007628B4" w:rsidRDefault="007628B4" w:rsidP="007628B4">
      <w:pPr>
        <w:pStyle w:val="ListParagraph"/>
        <w:numPr>
          <w:ilvl w:val="0"/>
          <w:numId w:val="2"/>
        </w:numPr>
        <w:autoSpaceDE w:val="0"/>
        <w:autoSpaceDN w:val="0"/>
        <w:adjustRightInd w:val="0"/>
        <w:ind w:left="0"/>
        <w:contextualSpacing w:val="0"/>
        <w:rPr>
          <w:rFonts w:ascii="Cambria" w:hAnsi="Cambria" w:cs="Arial"/>
        </w:rPr>
      </w:pPr>
      <w:r>
        <w:rPr>
          <w:rFonts w:ascii="Cambria" w:hAnsi="Cambria" w:cs="Arial"/>
        </w:rPr>
        <w:t>The individual who the personal data is about has consented to the processing.</w:t>
      </w:r>
    </w:p>
    <w:p w:rsidR="007628B4" w:rsidRDefault="007628B4" w:rsidP="007628B4">
      <w:pPr>
        <w:pStyle w:val="ListParagraph"/>
        <w:numPr>
          <w:ilvl w:val="0"/>
          <w:numId w:val="2"/>
        </w:numPr>
        <w:autoSpaceDE w:val="0"/>
        <w:autoSpaceDN w:val="0"/>
        <w:adjustRightInd w:val="0"/>
        <w:ind w:left="0"/>
        <w:contextualSpacing w:val="0"/>
        <w:rPr>
          <w:rFonts w:ascii="Cambria" w:hAnsi="Cambria" w:cs="Arial"/>
        </w:rPr>
      </w:pPr>
      <w:r>
        <w:rPr>
          <w:rFonts w:ascii="Cambria" w:hAnsi="Cambria" w:cs="Arial"/>
        </w:rPr>
        <w:t>The processing is necessary: in relation to a contract that the individual has entered into; or because the individual has asked for something to be done so they can enter into a contract.</w:t>
      </w:r>
    </w:p>
    <w:p w:rsidR="007628B4" w:rsidRDefault="007628B4" w:rsidP="007628B4">
      <w:pPr>
        <w:pStyle w:val="ListParagraph"/>
        <w:numPr>
          <w:ilvl w:val="0"/>
          <w:numId w:val="2"/>
        </w:numPr>
        <w:autoSpaceDE w:val="0"/>
        <w:autoSpaceDN w:val="0"/>
        <w:adjustRightInd w:val="0"/>
        <w:ind w:left="0"/>
        <w:contextualSpacing w:val="0"/>
        <w:rPr>
          <w:rFonts w:ascii="Cambria" w:hAnsi="Cambria" w:cs="Arial"/>
        </w:rPr>
      </w:pPr>
      <w:r>
        <w:rPr>
          <w:rFonts w:ascii="Cambria" w:hAnsi="Cambria" w:cs="Arial"/>
        </w:rPr>
        <w:t>The processing is necessary because of a legal obligation that applies to you except an obligation imposed by a contract).</w:t>
      </w:r>
    </w:p>
    <w:p w:rsidR="007628B4" w:rsidRDefault="007628B4" w:rsidP="007628B4">
      <w:pPr>
        <w:pStyle w:val="ListParagraph"/>
        <w:numPr>
          <w:ilvl w:val="0"/>
          <w:numId w:val="2"/>
        </w:numPr>
        <w:autoSpaceDE w:val="0"/>
        <w:autoSpaceDN w:val="0"/>
        <w:adjustRightInd w:val="0"/>
        <w:ind w:left="0"/>
        <w:contextualSpacing w:val="0"/>
        <w:rPr>
          <w:rFonts w:ascii="Cambria" w:hAnsi="Cambria" w:cs="Arial"/>
        </w:rPr>
      </w:pPr>
      <w:r>
        <w:rPr>
          <w:rFonts w:ascii="Cambria" w:hAnsi="Cambria" w:cs="Arial"/>
        </w:rPr>
        <w:t>The processing is necessary to protect the individual’s “vital interests”. This condition only applies in cases of life or death, such as where an individual’s medical history is disclosed to a hospital’s A&amp;E department treating them after a serious road accident.</w:t>
      </w:r>
    </w:p>
    <w:p w:rsidR="007628B4" w:rsidRDefault="007628B4" w:rsidP="007628B4">
      <w:pPr>
        <w:pStyle w:val="ListParagraph"/>
        <w:numPr>
          <w:ilvl w:val="0"/>
          <w:numId w:val="2"/>
        </w:numPr>
        <w:autoSpaceDE w:val="0"/>
        <w:autoSpaceDN w:val="0"/>
        <w:adjustRightInd w:val="0"/>
        <w:ind w:left="0"/>
        <w:contextualSpacing w:val="0"/>
        <w:rPr>
          <w:rFonts w:ascii="Cambria" w:hAnsi="Cambria" w:cs="Arial"/>
        </w:rPr>
      </w:pPr>
      <w:r>
        <w:rPr>
          <w:rFonts w:ascii="Cambria" w:hAnsi="Cambria" w:cs="Arial"/>
        </w:rPr>
        <w:t xml:space="preserve"> The processing is necessary for administering justice, or for exercising statutory, governmental, or other public functions.</w:t>
      </w:r>
    </w:p>
    <w:p w:rsidR="007628B4" w:rsidRDefault="007628B4" w:rsidP="007628B4">
      <w:pPr>
        <w:pStyle w:val="ListParagraph"/>
        <w:numPr>
          <w:ilvl w:val="0"/>
          <w:numId w:val="2"/>
        </w:numPr>
        <w:ind w:left="0"/>
        <w:contextualSpacing w:val="0"/>
        <w:rPr>
          <w:rFonts w:ascii="Cambria" w:hAnsi="Cambria" w:cs="Arial"/>
        </w:rPr>
      </w:pPr>
      <w:r>
        <w:rPr>
          <w:rFonts w:ascii="Cambria" w:hAnsi="Cambria" w:cs="Arial"/>
        </w:rPr>
        <w:t>The processing is in accordance with the “legitimate interests” condition.</w:t>
      </w:r>
    </w:p>
    <w:p w:rsidR="007628B4" w:rsidRDefault="007628B4" w:rsidP="007628B4">
      <w:pPr>
        <w:rPr>
          <w:rFonts w:ascii="Cambria" w:hAnsi="Cambria" w:cs="Arial"/>
        </w:rPr>
      </w:pPr>
      <w:r>
        <w:rPr>
          <w:rFonts w:ascii="Cambria" w:hAnsi="Cambria" w:cs="Arial"/>
        </w:rPr>
        <w:tab/>
      </w:r>
    </w:p>
    <w:p w:rsidR="007628B4" w:rsidRDefault="007628B4" w:rsidP="007628B4">
      <w:pPr>
        <w:autoSpaceDE w:val="0"/>
        <w:autoSpaceDN w:val="0"/>
        <w:adjustRightInd w:val="0"/>
        <w:rPr>
          <w:rFonts w:ascii="Cambria" w:hAnsi="Cambria" w:cs="Arial"/>
          <w:b/>
          <w:color w:val="000000"/>
        </w:rPr>
      </w:pPr>
      <w:r w:rsidRPr="00072AE5">
        <w:rPr>
          <w:rFonts w:ascii="Cambria" w:hAnsi="Cambria" w:cs="Arial"/>
          <w:color w:val="000000"/>
        </w:rPr>
        <w:t>Conditions for the processing sensitive personal data</w:t>
      </w:r>
      <w:r>
        <w:rPr>
          <w:rFonts w:ascii="Cambria" w:hAnsi="Cambria" w:cs="Arial"/>
          <w:b/>
          <w:color w:val="000000"/>
        </w:rPr>
        <w:t>.</w:t>
      </w:r>
    </w:p>
    <w:p w:rsidR="007628B4" w:rsidRDefault="007628B4" w:rsidP="007628B4">
      <w:pPr>
        <w:autoSpaceDE w:val="0"/>
        <w:autoSpaceDN w:val="0"/>
        <w:adjustRightInd w:val="0"/>
        <w:rPr>
          <w:rFonts w:ascii="Cambria" w:hAnsi="Cambria" w:cs="Arial"/>
          <w:i/>
        </w:rPr>
      </w:pPr>
      <w:r>
        <w:rPr>
          <w:rFonts w:ascii="Cambria" w:hAnsi="Cambria" w:cs="Arial"/>
          <w:i/>
          <w:color w:val="000000"/>
        </w:rPr>
        <w:t>(As detailed in Schedules 2 to the Data Protection Act 2018).</w:t>
      </w:r>
    </w:p>
    <w:p w:rsidR="007628B4" w:rsidRDefault="007628B4" w:rsidP="007628B4">
      <w:pPr>
        <w:rPr>
          <w:rFonts w:ascii="Cambria" w:hAnsi="Cambria" w:cs="Arial"/>
        </w:rPr>
      </w:pPr>
    </w:p>
    <w:p w:rsidR="007628B4" w:rsidRDefault="007628B4" w:rsidP="007628B4">
      <w:pPr>
        <w:pStyle w:val="ListParagraph"/>
        <w:ind w:left="0"/>
        <w:contextualSpacing w:val="0"/>
        <w:rPr>
          <w:rFonts w:ascii="Cambria" w:hAnsi="Cambria" w:cs="Arial"/>
        </w:rPr>
      </w:pPr>
      <w:r>
        <w:rPr>
          <w:rFonts w:ascii="Cambria" w:hAnsi="Cambria" w:cs="Arial"/>
        </w:rPr>
        <w:t>At least one of the additional conditions listed below must also be met whenever we process sensitive personal data:</w:t>
      </w:r>
    </w:p>
    <w:p w:rsidR="007628B4" w:rsidRDefault="007628B4" w:rsidP="007628B4">
      <w:pPr>
        <w:rPr>
          <w:rFonts w:ascii="Cambria" w:hAnsi="Cambria" w:cs="Arial"/>
        </w:rPr>
      </w:pPr>
    </w:p>
    <w:p w:rsidR="007628B4" w:rsidRDefault="007628B4" w:rsidP="007628B4">
      <w:pPr>
        <w:pStyle w:val="ListParagraph"/>
        <w:numPr>
          <w:ilvl w:val="0"/>
          <w:numId w:val="3"/>
        </w:numPr>
        <w:ind w:left="0"/>
        <w:contextualSpacing w:val="0"/>
        <w:rPr>
          <w:rFonts w:ascii="Cambria" w:hAnsi="Cambria" w:cs="Arial"/>
        </w:rPr>
      </w:pPr>
      <w:r>
        <w:rPr>
          <w:rFonts w:ascii="Cambria" w:hAnsi="Cambria" w:cs="Arial"/>
        </w:rPr>
        <w:t>For administering justice, or for exercising statutory or governmental functions</w:t>
      </w:r>
      <w:r w:rsidRPr="00073884">
        <w:rPr>
          <w:rFonts w:ascii="Cambria" w:hAnsi="Cambria" w:cs="Arial"/>
        </w:rPr>
        <w:t xml:space="preserve"> </w:t>
      </w:r>
      <w:r>
        <w:rPr>
          <w:rFonts w:ascii="Cambria" w:hAnsi="Cambria" w:cs="Arial"/>
        </w:rPr>
        <w:t>the individual who the sensitive personal data is about has given explicit consent to the processing.</w:t>
      </w:r>
    </w:p>
    <w:p w:rsidR="007628B4" w:rsidRDefault="007628B4" w:rsidP="007628B4">
      <w:pPr>
        <w:pStyle w:val="ListParagraph"/>
        <w:numPr>
          <w:ilvl w:val="0"/>
          <w:numId w:val="3"/>
        </w:numPr>
        <w:ind w:left="0"/>
        <w:contextualSpacing w:val="0"/>
        <w:rPr>
          <w:rFonts w:ascii="Cambria" w:hAnsi="Cambria" w:cs="Arial"/>
        </w:rPr>
      </w:pPr>
      <w:r>
        <w:rPr>
          <w:rFonts w:ascii="Cambria" w:hAnsi="Cambria" w:cs="Arial"/>
        </w:rPr>
        <w:t>The processing is necessary so that you can comply with employment law.</w:t>
      </w:r>
    </w:p>
    <w:p w:rsidR="007628B4" w:rsidRDefault="007628B4" w:rsidP="007628B4">
      <w:pPr>
        <w:pStyle w:val="ListParagraph"/>
        <w:numPr>
          <w:ilvl w:val="0"/>
          <w:numId w:val="3"/>
        </w:numPr>
        <w:ind w:left="0"/>
        <w:contextualSpacing w:val="0"/>
        <w:rPr>
          <w:rFonts w:ascii="Cambria" w:hAnsi="Cambria" w:cs="Arial"/>
        </w:rPr>
      </w:pPr>
      <w:r>
        <w:rPr>
          <w:rFonts w:ascii="Cambria" w:hAnsi="Cambria" w:cs="Arial"/>
        </w:rPr>
        <w:t>The processing is necessary to protect the vital interests of:</w:t>
      </w:r>
    </w:p>
    <w:p w:rsidR="007628B4" w:rsidRDefault="007628B4" w:rsidP="007628B4">
      <w:pPr>
        <w:rPr>
          <w:rFonts w:ascii="Cambria" w:hAnsi="Cambria" w:cs="Arial"/>
        </w:rPr>
      </w:pPr>
      <w:r>
        <w:rPr>
          <w:rFonts w:ascii="Cambria" w:hAnsi="Cambria" w:cs="Arial"/>
        </w:rPr>
        <w:t xml:space="preserve"> The individual (in a case where the individual’s consent cannot be given or reasonably obtained), or another person (in a case where the individual’s consent has been unreasonably withheld).</w:t>
      </w:r>
    </w:p>
    <w:p w:rsidR="007628B4" w:rsidRDefault="007628B4" w:rsidP="007628B4">
      <w:pPr>
        <w:pStyle w:val="ListParagraph"/>
        <w:numPr>
          <w:ilvl w:val="0"/>
          <w:numId w:val="4"/>
        </w:numPr>
        <w:ind w:left="0"/>
        <w:contextualSpacing w:val="0"/>
        <w:rPr>
          <w:rFonts w:ascii="Cambria" w:hAnsi="Cambria" w:cs="Arial"/>
        </w:rPr>
      </w:pPr>
      <w:r>
        <w:rPr>
          <w:rFonts w:ascii="Cambria" w:hAnsi="Cambria" w:cs="Arial"/>
        </w:rPr>
        <w:t>The processing is carried out by a not-for-profit organisation and does not involve disclosing personal data to a third party, unless the individual consents. Extra limitations apply to this condition.</w:t>
      </w:r>
      <w:r w:rsidR="00703291">
        <w:rPr>
          <w:rFonts w:ascii="Cambria" w:hAnsi="Cambria" w:cs="Arial"/>
        </w:rPr>
        <w:t xml:space="preserve"> All permissions in writing and on file.</w:t>
      </w:r>
    </w:p>
    <w:p w:rsidR="007628B4" w:rsidRDefault="007628B4" w:rsidP="007628B4">
      <w:pPr>
        <w:pStyle w:val="ListParagraph"/>
        <w:numPr>
          <w:ilvl w:val="0"/>
          <w:numId w:val="4"/>
        </w:numPr>
        <w:ind w:left="0"/>
        <w:contextualSpacing w:val="0"/>
        <w:rPr>
          <w:rFonts w:ascii="Cambria" w:hAnsi="Cambria" w:cs="Arial"/>
        </w:rPr>
      </w:pPr>
      <w:r>
        <w:rPr>
          <w:rFonts w:ascii="Cambria" w:hAnsi="Cambria" w:cs="Arial"/>
        </w:rPr>
        <w:t>The individual has deliberately made the information public.</w:t>
      </w:r>
    </w:p>
    <w:p w:rsidR="007628B4" w:rsidRDefault="007628B4" w:rsidP="007628B4">
      <w:pPr>
        <w:pStyle w:val="ListParagraph"/>
        <w:numPr>
          <w:ilvl w:val="0"/>
          <w:numId w:val="4"/>
        </w:numPr>
        <w:ind w:left="0"/>
        <w:contextualSpacing w:val="0"/>
        <w:rPr>
          <w:rFonts w:ascii="Cambria" w:hAnsi="Cambria" w:cs="Arial"/>
        </w:rPr>
      </w:pPr>
      <w:r>
        <w:rPr>
          <w:rFonts w:ascii="Cambria" w:hAnsi="Cambria" w:cs="Arial"/>
        </w:rPr>
        <w:t>The processing is necessary in relation to legal proceedings; for obtaining legal advice; or otherwise for establishing, exercising or defending legal rights.</w:t>
      </w:r>
    </w:p>
    <w:p w:rsidR="007628B4" w:rsidRDefault="007628B4" w:rsidP="007628B4">
      <w:pPr>
        <w:rPr>
          <w:rFonts w:ascii="Cambria" w:hAnsi="Cambria" w:cs="Arial"/>
        </w:rPr>
      </w:pPr>
      <w:r>
        <w:rPr>
          <w:rFonts w:ascii="Cambria" w:hAnsi="Cambria" w:cs="Arial"/>
        </w:rPr>
        <w:t>The processing is necessary.</w:t>
      </w:r>
    </w:p>
    <w:p w:rsidR="007628B4" w:rsidRDefault="007628B4" w:rsidP="007628B4">
      <w:pPr>
        <w:pStyle w:val="ListParagraph"/>
        <w:numPr>
          <w:ilvl w:val="0"/>
          <w:numId w:val="4"/>
        </w:numPr>
        <w:ind w:left="0"/>
        <w:contextualSpacing w:val="0"/>
        <w:rPr>
          <w:rFonts w:ascii="Cambria" w:hAnsi="Cambria" w:cs="Arial"/>
        </w:rPr>
      </w:pPr>
      <w:r>
        <w:rPr>
          <w:rFonts w:ascii="Cambria" w:hAnsi="Cambria" w:cs="Arial"/>
        </w:rPr>
        <w:t xml:space="preserve">The processing is necessary for medical </w:t>
      </w:r>
      <w:proofErr w:type="gramStart"/>
      <w:r>
        <w:rPr>
          <w:rFonts w:ascii="Cambria" w:hAnsi="Cambria" w:cs="Arial"/>
        </w:rPr>
        <w:t xml:space="preserve">purposes, </w:t>
      </w:r>
      <w:r w:rsidR="00703291">
        <w:rPr>
          <w:rFonts w:ascii="Cambria" w:hAnsi="Cambria" w:cs="Arial"/>
        </w:rPr>
        <w:t xml:space="preserve"> </w:t>
      </w:r>
      <w:r>
        <w:rPr>
          <w:rFonts w:ascii="Cambria" w:hAnsi="Cambria" w:cs="Arial"/>
        </w:rPr>
        <w:t>and</w:t>
      </w:r>
      <w:proofErr w:type="gramEnd"/>
      <w:r>
        <w:rPr>
          <w:rFonts w:ascii="Cambria" w:hAnsi="Cambria" w:cs="Arial"/>
        </w:rPr>
        <w:t xml:space="preserve"> is undertaken by a health professional or by someone who is subject to an equivalent duty of confidentiality.</w:t>
      </w:r>
    </w:p>
    <w:p w:rsidR="007628B4" w:rsidRPr="002874AB" w:rsidRDefault="007628B4" w:rsidP="007628B4">
      <w:pPr>
        <w:pStyle w:val="ListParagraph"/>
        <w:numPr>
          <w:ilvl w:val="0"/>
          <w:numId w:val="4"/>
        </w:numPr>
        <w:ind w:left="0"/>
        <w:rPr>
          <w:rFonts w:ascii="Cambria" w:hAnsi="Cambria" w:cs="Arial"/>
        </w:rPr>
      </w:pPr>
      <w:r w:rsidRPr="002874AB">
        <w:rPr>
          <w:rFonts w:ascii="Cambria" w:hAnsi="Cambria" w:cs="Arial"/>
        </w:rPr>
        <w:t>The processing is necessary for monitoring equality of opportunity, and is carried out with appropriate safeguards for the rights of individuals</w:t>
      </w:r>
    </w:p>
    <w:p w:rsidR="007628B4" w:rsidRDefault="007628B4" w:rsidP="007628B4">
      <w:pPr>
        <w:rPr>
          <w:rFonts w:ascii="Cambria" w:hAnsi="Cambria" w:cs="Arial"/>
        </w:rPr>
      </w:pPr>
    </w:p>
    <w:p w:rsidR="007628B4" w:rsidRDefault="007628B4" w:rsidP="007628B4">
      <w:pPr>
        <w:rPr>
          <w:rFonts w:ascii="Cambria" w:hAnsi="Cambria" w:cs="Arial"/>
        </w:rPr>
      </w:pPr>
    </w:p>
    <w:p w:rsidR="007628B4" w:rsidRDefault="007628B4" w:rsidP="007628B4">
      <w:pPr>
        <w:rPr>
          <w:rFonts w:ascii="Cambria" w:hAnsi="Cambria" w:cs="Arial"/>
        </w:rPr>
      </w:pPr>
      <w:r>
        <w:rPr>
          <w:rFonts w:ascii="Cambria" w:hAnsi="Cambria" w:cs="Arial"/>
        </w:rPr>
        <w:lastRenderedPageBreak/>
        <w:t xml:space="preserve">In addition to the above conditions which are all set out in the Data Protection Act itself regulations set out several other conditions for processing sensitive personal data. Their effect is to permit the processing of sensitive personal data for a range of other purposes typically those that are in the substantial public interest, and which must necessarily be carried out without the explicit consent of the individual. </w:t>
      </w:r>
    </w:p>
    <w:p w:rsidR="007628B4" w:rsidRDefault="007628B4" w:rsidP="007628B4">
      <w:pPr>
        <w:rPr>
          <w:rFonts w:ascii="Cambria" w:hAnsi="Cambria" w:cs="Arial"/>
        </w:rPr>
      </w:pPr>
      <w:r>
        <w:rPr>
          <w:rFonts w:ascii="Cambria" w:hAnsi="Cambria" w:cs="Arial"/>
        </w:rPr>
        <w:t>Examples of such purposes include preventing or detecting crime and protecting the public against malpractice or maladministration. A full list of the additional conditions for processing is set out in the Data Protection (Processing of Sensitive Personal Data) Order 2000 and subsequent orders.</w:t>
      </w:r>
    </w:p>
    <w:p w:rsidR="00703291" w:rsidRDefault="00703291" w:rsidP="007628B4">
      <w:pPr>
        <w:rPr>
          <w:rFonts w:ascii="Cambria" w:hAnsi="Cambria" w:cs="Arial"/>
        </w:rPr>
      </w:pPr>
    </w:p>
    <w:p w:rsidR="00703291" w:rsidRDefault="00703291"/>
    <w:p w:rsidR="00703291" w:rsidRDefault="00703291"/>
    <w:p w:rsidR="00703291" w:rsidRDefault="00703291">
      <w:r>
        <w:rPr>
          <w:noProof/>
        </w:rPr>
        <w:drawing>
          <wp:inline distT="0" distB="0" distL="0" distR="0">
            <wp:extent cx="1815777" cy="1737257"/>
            <wp:effectExtent l="0" t="0" r="635" b="317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R Pyshorn.jpeg"/>
                    <pic:cNvPicPr/>
                  </pic:nvPicPr>
                  <pic:blipFill>
                    <a:blip r:embed="rId8"/>
                    <a:stretch>
                      <a:fillRect/>
                    </a:stretch>
                  </pic:blipFill>
                  <pic:spPr>
                    <a:xfrm>
                      <a:off x="0" y="0"/>
                      <a:ext cx="1835618" cy="1756240"/>
                    </a:xfrm>
                    <a:prstGeom prst="rect">
                      <a:avLst/>
                    </a:prstGeom>
                  </pic:spPr>
                </pic:pic>
              </a:graphicData>
            </a:graphic>
          </wp:inline>
        </w:drawing>
      </w:r>
    </w:p>
    <w:bookmarkStart w:id="0" w:name="_MailAutoSig"/>
    <w:p w:rsidR="00703291" w:rsidRDefault="00703291" w:rsidP="00703291">
      <w:pPr>
        <w:rPr>
          <w:rFonts w:ascii="Calibri" w:eastAsiaTheme="minorEastAsia" w:hAnsi="Calibri" w:cs="Calibri"/>
          <w:noProof/>
          <w:color w:val="000000"/>
          <w:sz w:val="22"/>
          <w:szCs w:val="22"/>
        </w:rPr>
      </w:pPr>
      <w:r>
        <w:fldChar w:fldCharType="begin"/>
      </w:r>
      <w:r>
        <w:instrText xml:space="preserve"> HYPERLINK "mailto:richard@secureforests.com" </w:instrText>
      </w:r>
      <w:r>
        <w:fldChar w:fldCharType="separate"/>
      </w:r>
      <w:r>
        <w:rPr>
          <w:rStyle w:val="Hyperlink"/>
          <w:rFonts w:ascii="Calibri" w:eastAsiaTheme="minorEastAsia" w:hAnsi="Calibri" w:cs="Calibri"/>
          <w:noProof/>
          <w:color w:val="0563C1"/>
          <w:sz w:val="22"/>
          <w:szCs w:val="22"/>
        </w:rPr>
        <w:t>richard@secureforests.com</w:t>
      </w:r>
      <w:r>
        <w:fldChar w:fldCharType="end"/>
      </w:r>
      <w:r>
        <w:rPr>
          <w:rFonts w:ascii="Calibri" w:eastAsiaTheme="minorEastAsia" w:hAnsi="Calibri" w:cs="Calibri"/>
          <w:noProof/>
          <w:color w:val="000000"/>
          <w:sz w:val="22"/>
          <w:szCs w:val="22"/>
        </w:rPr>
        <w:t xml:space="preserve"> </w:t>
      </w:r>
    </w:p>
    <w:p w:rsidR="00703291" w:rsidRDefault="00703291" w:rsidP="00703291">
      <w:pPr>
        <w:rPr>
          <w:rFonts w:ascii="Calibri" w:eastAsiaTheme="minorEastAsia" w:hAnsi="Calibri" w:cs="Calibri"/>
          <w:noProof/>
          <w:color w:val="000000"/>
          <w:sz w:val="22"/>
          <w:szCs w:val="22"/>
        </w:rPr>
      </w:pPr>
      <w:hyperlink r:id="rId9" w:history="1">
        <w:r>
          <w:rPr>
            <w:rStyle w:val="Hyperlink"/>
            <w:rFonts w:ascii="Calibri" w:eastAsiaTheme="minorEastAsia" w:hAnsi="Calibri" w:cs="Calibri"/>
            <w:noProof/>
            <w:color w:val="0563C1"/>
            <w:sz w:val="22"/>
            <w:szCs w:val="22"/>
          </w:rPr>
          <w:t>tellmemore@secureforests.com</w:t>
        </w:r>
      </w:hyperlink>
    </w:p>
    <w:p w:rsidR="00703291" w:rsidRDefault="00703291" w:rsidP="00703291">
      <w:pPr>
        <w:rPr>
          <w:rFonts w:ascii="Calibri" w:eastAsiaTheme="minorEastAsia" w:hAnsi="Calibri" w:cs="Calibri"/>
          <w:noProof/>
          <w:color w:val="000000"/>
          <w:sz w:val="22"/>
          <w:szCs w:val="22"/>
        </w:rPr>
      </w:pPr>
    </w:p>
    <w:p w:rsidR="00703291" w:rsidRDefault="00703291" w:rsidP="00703291">
      <w:pPr>
        <w:rPr>
          <w:rFonts w:ascii="Calibri" w:eastAsiaTheme="minorEastAsia" w:hAnsi="Calibri" w:cs="Calibri"/>
          <w:noProof/>
          <w:color w:val="000000"/>
          <w:sz w:val="22"/>
          <w:szCs w:val="22"/>
        </w:rPr>
      </w:pPr>
      <w:r>
        <w:rPr>
          <w:rFonts w:ascii="Calibri" w:eastAsiaTheme="minorEastAsia" w:hAnsi="Calibri" w:cs="Calibri"/>
          <w:noProof/>
          <w:color w:val="000000"/>
          <w:sz w:val="22"/>
          <w:szCs w:val="22"/>
        </w:rPr>
        <w:t>Mobile: 0044(0)07854149475</w:t>
      </w:r>
    </w:p>
    <w:p w:rsidR="00703291" w:rsidRDefault="00703291" w:rsidP="00703291">
      <w:pPr>
        <w:rPr>
          <w:rFonts w:ascii="Calibri" w:eastAsiaTheme="minorEastAsia" w:hAnsi="Calibri" w:cs="Calibri"/>
          <w:noProof/>
          <w:color w:val="000000"/>
          <w:sz w:val="22"/>
          <w:szCs w:val="22"/>
        </w:rPr>
      </w:pPr>
      <w:r>
        <w:rPr>
          <w:rFonts w:ascii="Calibri" w:eastAsiaTheme="minorEastAsia" w:hAnsi="Calibri" w:cs="Calibri"/>
          <w:noProof/>
          <w:color w:val="000000"/>
          <w:sz w:val="22"/>
          <w:szCs w:val="22"/>
        </w:rPr>
        <w:t>Office:0044(0)1752823601</w:t>
      </w:r>
    </w:p>
    <w:p w:rsidR="00703291" w:rsidRDefault="00703291" w:rsidP="00703291">
      <w:pPr>
        <w:rPr>
          <w:rFonts w:ascii="Calibri" w:eastAsiaTheme="minorEastAsia" w:hAnsi="Calibri" w:cs="Calibri"/>
          <w:noProof/>
          <w:color w:val="000000"/>
          <w:sz w:val="22"/>
          <w:szCs w:val="22"/>
        </w:rPr>
      </w:pPr>
      <w:hyperlink r:id="rId10" w:history="1">
        <w:r>
          <w:rPr>
            <w:rStyle w:val="Hyperlink"/>
            <w:rFonts w:ascii="Calibri" w:eastAsiaTheme="minorEastAsia" w:hAnsi="Calibri" w:cs="Calibri"/>
            <w:noProof/>
            <w:color w:val="0563C1"/>
            <w:sz w:val="22"/>
            <w:szCs w:val="22"/>
          </w:rPr>
          <w:t>http://www.secureforests.com/</w:t>
        </w:r>
      </w:hyperlink>
    </w:p>
    <w:p w:rsidR="00703291" w:rsidRDefault="00703291" w:rsidP="00703291">
      <w:pPr>
        <w:rPr>
          <w:rFonts w:ascii="Calibri" w:eastAsiaTheme="minorEastAsia" w:hAnsi="Calibri" w:cs="Calibri"/>
          <w:noProof/>
          <w:color w:val="000000"/>
          <w:sz w:val="22"/>
          <w:szCs w:val="22"/>
        </w:rPr>
      </w:pPr>
    </w:p>
    <w:p w:rsidR="00703291" w:rsidRDefault="00703291" w:rsidP="00703291">
      <w:pPr>
        <w:rPr>
          <w:rFonts w:asciiTheme="minorHAnsi" w:eastAsiaTheme="minorHAnsi" w:hAnsiTheme="minorHAnsi" w:cstheme="minorBidi"/>
        </w:rPr>
      </w:pPr>
      <w:r>
        <w:rPr>
          <w:rFonts w:ascii="Calibri" w:eastAsiaTheme="minorEastAsia" w:hAnsi="Calibri" w:cs="Calibri"/>
          <w:noProof/>
          <w:sz w:val="22"/>
          <w:szCs w:val="22"/>
        </w:rPr>
        <w:fldChar w:fldCharType="begin"/>
      </w:r>
      <w:r>
        <w:rPr>
          <w:rFonts w:ascii="Calibri" w:eastAsiaTheme="minorEastAsia" w:hAnsi="Calibri" w:cs="Calibri"/>
          <w:noProof/>
          <w:sz w:val="22"/>
          <w:szCs w:val="22"/>
        </w:rPr>
        <w:instrText xml:space="preserve"> INCLUDEPICTURE  "/Users/ciredeacon/Library/Containers/com.microsoft.Outlook/Data/Library/Caches/Signatures/signature_950362418" \* MERGEFORMATINET </w:instrText>
      </w:r>
      <w:r>
        <w:rPr>
          <w:rFonts w:ascii="Calibri" w:eastAsiaTheme="minorEastAsia" w:hAnsi="Calibri" w:cs="Calibri"/>
          <w:noProof/>
          <w:sz w:val="22"/>
          <w:szCs w:val="22"/>
        </w:rPr>
        <w:fldChar w:fldCharType="separate"/>
      </w:r>
      <w:r>
        <w:rPr>
          <w:rFonts w:ascii="Calibri" w:eastAsiaTheme="minorEastAsia" w:hAnsi="Calibri" w:cs="Calibri"/>
          <w:noProof/>
          <w:sz w:val="22"/>
          <w:szCs w:val="22"/>
        </w:rPr>
        <w:drawing>
          <wp:inline distT="0" distB="0" distL="0" distR="0">
            <wp:extent cx="5270500" cy="775970"/>
            <wp:effectExtent l="0" t="0" r="0" b="0"/>
            <wp:docPr id="3" name="Picture 3" descr="A picture containing player, ball, man,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player, ball, man, blue&#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270500" cy="775970"/>
                    </a:xfrm>
                    <a:prstGeom prst="rect">
                      <a:avLst/>
                    </a:prstGeom>
                    <a:noFill/>
                    <a:ln>
                      <a:noFill/>
                    </a:ln>
                  </pic:spPr>
                </pic:pic>
              </a:graphicData>
            </a:graphic>
          </wp:inline>
        </w:drawing>
      </w:r>
      <w:r>
        <w:rPr>
          <w:rFonts w:ascii="Calibri" w:eastAsiaTheme="minorEastAsia" w:hAnsi="Calibri" w:cs="Calibri"/>
          <w:noProof/>
          <w:sz w:val="22"/>
          <w:szCs w:val="22"/>
        </w:rPr>
        <w:fldChar w:fldCharType="end"/>
      </w:r>
      <w:bookmarkEnd w:id="0"/>
    </w:p>
    <w:p w:rsidR="00703291" w:rsidRDefault="00703291"/>
    <w:p w:rsidR="007628B4" w:rsidRDefault="007628B4">
      <w:r>
        <w:rPr>
          <w:noProof/>
          <w:lang w:val="en-US"/>
        </w:rPr>
        <w:lastRenderedPageBreak/>
        <w:drawing>
          <wp:inline distT="0" distB="0" distL="0" distR="0" wp14:anchorId="22617E62" wp14:editId="113A4807">
            <wp:extent cx="5270500" cy="739330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PR Do's and Dont's.jpeg"/>
                    <pic:cNvPicPr/>
                  </pic:nvPicPr>
                  <pic:blipFill>
                    <a:blip r:embed="rId13">
                      <a:extLst>
                        <a:ext uri="{28A0092B-C50C-407E-A947-70E740481C1C}">
                          <a14:useLocalDpi xmlns:a14="http://schemas.microsoft.com/office/drawing/2010/main" val="0"/>
                        </a:ext>
                      </a:extLst>
                    </a:blip>
                    <a:stretch>
                      <a:fillRect/>
                    </a:stretch>
                  </pic:blipFill>
                  <pic:spPr>
                    <a:xfrm>
                      <a:off x="0" y="0"/>
                      <a:ext cx="5270500" cy="7393305"/>
                    </a:xfrm>
                    <a:prstGeom prst="rect">
                      <a:avLst/>
                    </a:prstGeom>
                  </pic:spPr>
                </pic:pic>
              </a:graphicData>
            </a:graphic>
          </wp:inline>
        </w:drawing>
      </w:r>
    </w:p>
    <w:sectPr w:rsidR="007628B4" w:rsidSect="007628B4">
      <w:head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10AA" w:rsidRDefault="00BB10AA" w:rsidP="007628B4">
      <w:r>
        <w:separator/>
      </w:r>
    </w:p>
  </w:endnote>
  <w:endnote w:type="continuationSeparator" w:id="0">
    <w:p w:rsidR="00BB10AA" w:rsidRDefault="00BB10AA" w:rsidP="0076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10AA" w:rsidRDefault="00BB10AA" w:rsidP="007628B4">
      <w:r>
        <w:separator/>
      </w:r>
    </w:p>
  </w:footnote>
  <w:footnote w:type="continuationSeparator" w:id="0">
    <w:p w:rsidR="00BB10AA" w:rsidRDefault="00BB10AA" w:rsidP="00762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48"/>
      <w:gridCol w:w="1152"/>
    </w:tblGrid>
    <w:tr w:rsidR="007628B4">
      <w:tc>
        <w:tcPr>
          <w:tcW w:w="0" w:type="auto"/>
          <w:tcBorders>
            <w:right w:val="single" w:sz="6" w:space="0" w:color="000000" w:themeColor="text1"/>
          </w:tcBorders>
        </w:tcPr>
        <w:p w:rsidR="007628B4" w:rsidRDefault="00A40812">
          <w:pPr>
            <w:pStyle w:val="Header"/>
            <w:jc w:val="right"/>
          </w:pPr>
          <w:r>
            <w:t>Secure Forests CIC</w:t>
          </w:r>
          <w:r w:rsidR="007628B4">
            <w:t xml:space="preserve"> Ltd</w:t>
          </w:r>
          <w:sdt>
            <w:sdtPr>
              <w:alias w:val="Company"/>
              <w:id w:val="78735422"/>
              <w:placeholder>
                <w:docPart w:val="0A8B360B10E6EA4E88D460B77FA506A4"/>
              </w:placeholder>
              <w:dataBinding w:prefixMappings="xmlns:ns0='http://schemas.openxmlformats.org/officeDocument/2006/extended-properties'" w:xpath="/ns0:Properties[1]/ns0:Company[1]" w:storeItemID="{6668398D-A668-4E3E-A5EB-62B293D839F1}"/>
              <w:text/>
            </w:sdtPr>
            <w:sdtEndPr/>
            <w:sdtContent>
              <w:r w:rsidR="00703291">
                <w:t xml:space="preserve"> </w:t>
              </w:r>
              <w:r>
                <w:t>Secure Forests CIC</w:t>
              </w:r>
            </w:sdtContent>
          </w:sdt>
        </w:p>
        <w:sdt>
          <w:sdtPr>
            <w:rPr>
              <w:b/>
              <w:bCs/>
            </w:rPr>
            <w:alias w:val="Title"/>
            <w:id w:val="78735415"/>
            <w:placeholder>
              <w:docPart w:val="4DB4FB1A9A26D845AB7BC245DE2ACC96"/>
            </w:placeholder>
            <w:dataBinding w:prefixMappings="xmlns:ns0='http://schemas.openxmlformats.org/package/2006/metadata/core-properties' xmlns:ns1='http://purl.org/dc/elements/1.1/'" w:xpath="/ns0:coreProperties[1]/ns1:title[1]" w:storeItemID="{6C3C8BC8-F283-45AE-878A-BAB7291924A1}"/>
            <w:text/>
          </w:sdtPr>
          <w:sdtEndPr/>
          <w:sdtContent>
            <w:p w:rsidR="007628B4" w:rsidRDefault="007628B4" w:rsidP="007628B4">
              <w:pPr>
                <w:pStyle w:val="Header"/>
                <w:jc w:val="right"/>
                <w:rPr>
                  <w:b/>
                  <w:bCs/>
                </w:rPr>
              </w:pPr>
              <w:r>
                <w:rPr>
                  <w:b/>
                  <w:bCs/>
                </w:rPr>
                <w:t xml:space="preserve">Data Protection </w:t>
              </w:r>
              <w:proofErr w:type="gramStart"/>
              <w:r>
                <w:rPr>
                  <w:b/>
                  <w:bCs/>
                </w:rPr>
                <w:t xml:space="preserve">Ref </w:t>
              </w:r>
              <w:r w:rsidR="00A40812">
                <w:rPr>
                  <w:b/>
                  <w:bCs/>
                </w:rPr>
                <w:t>:</w:t>
              </w:r>
              <w:r>
                <w:rPr>
                  <w:b/>
                  <w:bCs/>
                </w:rPr>
                <w:t>DP</w:t>
              </w:r>
              <w:proofErr w:type="gramEnd"/>
              <w:r>
                <w:rPr>
                  <w:b/>
                  <w:bCs/>
                </w:rPr>
                <w:t>/S</w:t>
              </w:r>
              <w:r w:rsidR="00A40812">
                <w:rPr>
                  <w:b/>
                  <w:bCs/>
                </w:rPr>
                <w:t>F</w:t>
              </w:r>
              <w:r>
                <w:rPr>
                  <w:b/>
                  <w:bCs/>
                </w:rPr>
                <w:t>/00</w:t>
              </w:r>
              <w:r w:rsidR="00A40812">
                <w:rPr>
                  <w:b/>
                  <w:bCs/>
                </w:rPr>
                <w:t>1</w:t>
              </w:r>
            </w:p>
          </w:sdtContent>
        </w:sdt>
      </w:tc>
      <w:tc>
        <w:tcPr>
          <w:tcW w:w="1152" w:type="dxa"/>
          <w:tcBorders>
            <w:left w:val="single" w:sz="6" w:space="0" w:color="000000" w:themeColor="text1"/>
          </w:tcBorders>
        </w:tcPr>
        <w:p w:rsidR="007628B4" w:rsidRDefault="007628B4">
          <w:pPr>
            <w:pStyle w:val="Header"/>
            <w:rPr>
              <w:b/>
            </w:rPr>
          </w:pPr>
        </w:p>
      </w:tc>
    </w:tr>
  </w:tbl>
  <w:p w:rsidR="007628B4" w:rsidRDefault="00762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F3602"/>
    <w:multiLevelType w:val="hybridMultilevel"/>
    <w:tmpl w:val="56546138"/>
    <w:lvl w:ilvl="0" w:tplc="08090001">
      <w:start w:val="1"/>
      <w:numFmt w:val="bullet"/>
      <w:lvlText w:val=""/>
      <w:lvlJc w:val="left"/>
      <w:pPr>
        <w:ind w:left="1473"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C1050CB"/>
    <w:multiLevelType w:val="hybridMultilevel"/>
    <w:tmpl w:val="E48EB990"/>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360"/>
        </w:tabs>
        <w:ind w:left="36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6E9F2BFD"/>
    <w:multiLevelType w:val="hybridMultilevel"/>
    <w:tmpl w:val="C888A2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7D2B26EC"/>
    <w:multiLevelType w:val="hybridMultilevel"/>
    <w:tmpl w:val="38A69E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B4"/>
    <w:rsid w:val="005A0E80"/>
    <w:rsid w:val="00703291"/>
    <w:rsid w:val="007628B4"/>
    <w:rsid w:val="008674CF"/>
    <w:rsid w:val="00A40812"/>
    <w:rsid w:val="00BB1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3A0C0C"/>
  <w14:defaultImageDpi w14:val="300"/>
  <w15:docId w15:val="{27F3984E-F0C2-AC43-BAE0-08B3E7D1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B4"/>
    <w:rPr>
      <w:rFonts w:ascii="Times New Roman" w:eastAsia="Calibri"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8B4"/>
    <w:pPr>
      <w:ind w:left="720"/>
      <w:contextualSpacing/>
    </w:pPr>
  </w:style>
  <w:style w:type="paragraph" w:styleId="BalloonText">
    <w:name w:val="Balloon Text"/>
    <w:basedOn w:val="Normal"/>
    <w:link w:val="BalloonTextChar"/>
    <w:uiPriority w:val="99"/>
    <w:semiHidden/>
    <w:unhideWhenUsed/>
    <w:rsid w:val="007628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28B4"/>
    <w:rPr>
      <w:rFonts w:ascii="Lucida Grande" w:eastAsia="Calibri" w:hAnsi="Lucida Grande" w:cs="Lucida Grande"/>
      <w:sz w:val="18"/>
      <w:szCs w:val="18"/>
      <w:lang w:val="en-GB"/>
    </w:rPr>
  </w:style>
  <w:style w:type="paragraph" w:styleId="Header">
    <w:name w:val="header"/>
    <w:basedOn w:val="Normal"/>
    <w:link w:val="HeaderChar"/>
    <w:uiPriority w:val="99"/>
    <w:unhideWhenUsed/>
    <w:rsid w:val="007628B4"/>
    <w:pPr>
      <w:tabs>
        <w:tab w:val="center" w:pos="4320"/>
        <w:tab w:val="right" w:pos="8640"/>
      </w:tabs>
    </w:pPr>
  </w:style>
  <w:style w:type="character" w:customStyle="1" w:styleId="HeaderChar">
    <w:name w:val="Header Char"/>
    <w:basedOn w:val="DefaultParagraphFont"/>
    <w:link w:val="Header"/>
    <w:uiPriority w:val="99"/>
    <w:rsid w:val="007628B4"/>
    <w:rPr>
      <w:rFonts w:ascii="Times New Roman" w:eastAsia="Calibri" w:hAnsi="Times New Roman" w:cs="Times New Roman"/>
      <w:lang w:val="en-GB"/>
    </w:rPr>
  </w:style>
  <w:style w:type="paragraph" w:styleId="Footer">
    <w:name w:val="footer"/>
    <w:basedOn w:val="Normal"/>
    <w:link w:val="FooterChar"/>
    <w:uiPriority w:val="99"/>
    <w:unhideWhenUsed/>
    <w:rsid w:val="007628B4"/>
    <w:pPr>
      <w:tabs>
        <w:tab w:val="center" w:pos="4320"/>
        <w:tab w:val="right" w:pos="8640"/>
      </w:tabs>
    </w:pPr>
  </w:style>
  <w:style w:type="character" w:customStyle="1" w:styleId="FooterChar">
    <w:name w:val="Footer Char"/>
    <w:basedOn w:val="DefaultParagraphFont"/>
    <w:link w:val="Footer"/>
    <w:uiPriority w:val="99"/>
    <w:rsid w:val="007628B4"/>
    <w:rPr>
      <w:rFonts w:ascii="Times New Roman" w:eastAsia="Calibri" w:hAnsi="Times New Roman" w:cs="Times New Roman"/>
      <w:lang w:val="en-GB"/>
    </w:rPr>
  </w:style>
  <w:style w:type="table" w:styleId="TableGrid">
    <w:name w:val="Table Grid"/>
    <w:basedOn w:val="TableNormal"/>
    <w:uiPriority w:val="1"/>
    <w:rsid w:val="007628B4"/>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7032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038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file:////Users/ciredeacon/Library/Containers/com.microsoft.Outlook/Data/Library/Caches/Signatures/signature_9503624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reforests.com/" TargetMode="External"/><Relationship Id="rId4" Type="http://schemas.openxmlformats.org/officeDocument/2006/relationships/settings" Target="settings.xml"/><Relationship Id="rId9" Type="http://schemas.openxmlformats.org/officeDocument/2006/relationships/hyperlink" Target="mailto:tellmemore@secureforests.com"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B360B10E6EA4E88D460B77FA506A4"/>
        <w:category>
          <w:name w:val="General"/>
          <w:gallery w:val="placeholder"/>
        </w:category>
        <w:types>
          <w:type w:val="bbPlcHdr"/>
        </w:types>
        <w:behaviors>
          <w:behavior w:val="content"/>
        </w:behaviors>
        <w:guid w:val="{C4E1EC4C-374D-F141-B6CB-C11D17CA4C4F}"/>
      </w:docPartPr>
      <w:docPartBody>
        <w:p w:rsidR="00EE3613" w:rsidRDefault="002B1A59" w:rsidP="002B1A59">
          <w:pPr>
            <w:pStyle w:val="0A8B360B10E6EA4E88D460B77FA506A4"/>
          </w:pPr>
          <w:r>
            <w:t>[Type the company name]</w:t>
          </w:r>
        </w:p>
      </w:docPartBody>
    </w:docPart>
    <w:docPart>
      <w:docPartPr>
        <w:name w:val="4DB4FB1A9A26D845AB7BC245DE2ACC96"/>
        <w:category>
          <w:name w:val="General"/>
          <w:gallery w:val="placeholder"/>
        </w:category>
        <w:types>
          <w:type w:val="bbPlcHdr"/>
        </w:types>
        <w:behaviors>
          <w:behavior w:val="content"/>
        </w:behaviors>
        <w:guid w:val="{9CD33B30-934B-A549-BFF6-C745AB0BB38A}"/>
      </w:docPartPr>
      <w:docPartBody>
        <w:p w:rsidR="00EE3613" w:rsidRDefault="002B1A59" w:rsidP="002B1A59">
          <w:pPr>
            <w:pStyle w:val="4DB4FB1A9A26D845AB7BC245DE2ACC96"/>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A59"/>
    <w:rsid w:val="002B1A59"/>
    <w:rsid w:val="00973067"/>
    <w:rsid w:val="00EE36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8B360B10E6EA4E88D460B77FA506A4">
    <w:name w:val="0A8B360B10E6EA4E88D460B77FA506A4"/>
    <w:rsid w:val="002B1A59"/>
  </w:style>
  <w:style w:type="paragraph" w:customStyle="1" w:styleId="4DB4FB1A9A26D845AB7BC245DE2ACC96">
    <w:name w:val="4DB4FB1A9A26D845AB7BC245DE2ACC96"/>
    <w:rsid w:val="002B1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F6D85-8133-244C-8A4E-98B56350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817</Words>
  <Characters>4657</Characters>
  <Application>Microsoft Office Word</Application>
  <DocSecurity>0</DocSecurity>
  <Lines>38</Lines>
  <Paragraphs>10</Paragraphs>
  <ScaleCrop>false</ScaleCrop>
  <Company>Secure Forests CIC</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Ref :DP/SF/001</dc:title>
  <dc:subject/>
  <dc:creator>Richard Pyshorn</dc:creator>
  <cp:keywords/>
  <dc:description/>
  <cp:lastModifiedBy>Richard Pyshorn</cp:lastModifiedBy>
  <cp:revision>2</cp:revision>
  <dcterms:created xsi:type="dcterms:W3CDTF">2020-06-12T16:25:00Z</dcterms:created>
  <dcterms:modified xsi:type="dcterms:W3CDTF">2020-06-12T16:34:00Z</dcterms:modified>
</cp:coreProperties>
</file>